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EEB" w:rsidRPr="00820EEB" w:rsidRDefault="00820EEB" w:rsidP="00820EEB">
      <w:pPr>
        <w:spacing w:after="0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>Неделя нулевого травматизма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В рамках привлечения (подчиненных) подведомственных организаций к участию в кампании по применению принципов концепции «Нулевой травматизм», на территории Минской области с 5 по 12 сентября 2022 г. проводится мероприятие «Неделя нулевого травматизма.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 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noProof/>
          <w:szCs w:val="30"/>
          <w:lang w:eastAsia="ru-RU"/>
        </w:rPr>
        <w:drawing>
          <wp:inline distT="0" distB="0" distL="0" distR="0" wp14:anchorId="1113304D" wp14:editId="4FB6DB67">
            <wp:extent cx="2206625" cy="2066290"/>
            <wp:effectExtent l="0" t="0" r="3175" b="0"/>
            <wp:docPr id="1" name="Рисунок 1" descr="Описание: 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: index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>Неделя нулевого травматизма проводится с целью повышения безопасности, улучшения гигиены и условий труда, предотвращения случаев производственного травматизма в организации (</w:t>
      </w:r>
      <w:proofErr w:type="spellStart"/>
      <w:r w:rsidRPr="00820EEB">
        <w:rPr>
          <w:rFonts w:eastAsia="Times New Roman" w:cs="Times New Roman"/>
          <w:szCs w:val="30"/>
          <w:lang w:eastAsia="ru-RU"/>
        </w:rPr>
        <w:t>недопущенияни</w:t>
      </w:r>
      <w:proofErr w:type="spellEnd"/>
      <w:r w:rsidRPr="00820EEB">
        <w:rPr>
          <w:rFonts w:eastAsia="Times New Roman" w:cs="Times New Roman"/>
          <w:szCs w:val="30"/>
          <w:lang w:eastAsia="ru-RU"/>
        </w:rPr>
        <w:t xml:space="preserve"> одного случая </w:t>
      </w:r>
      <w:proofErr w:type="spellStart"/>
      <w:r w:rsidRPr="00820EEB">
        <w:rPr>
          <w:rFonts w:eastAsia="Times New Roman" w:cs="Times New Roman"/>
          <w:szCs w:val="30"/>
          <w:lang w:eastAsia="ru-RU"/>
        </w:rPr>
        <w:t>травмирования</w:t>
      </w:r>
      <w:proofErr w:type="spellEnd"/>
      <w:r w:rsidRPr="00820EEB">
        <w:rPr>
          <w:rFonts w:eastAsia="Times New Roman" w:cs="Times New Roman"/>
          <w:szCs w:val="30"/>
          <w:lang w:eastAsia="ru-RU"/>
        </w:rPr>
        <w:t xml:space="preserve"> в этот период) путем оперативного выявления нарушений требований охраны труда и применения мер по их устранению.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Принципами проведения Недели нулевого травматизма являются: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1. Приоритет жизни работника и его здоровье;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2. Ответственность руководителей и каждого работника за безопасность и соблюдение требований по охране труда;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3. Вовлечение работников организации в обеспечение безопасных условий и охраны труда. Необходимо, чтобы каждый работник заботился о себе, равно как и о своих коллегах – «Один за всех, все за одного»!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4. Оценка и управление рисками на производстве;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5. Обучение и информирование работников по вопросам охраны труда.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lastRenderedPageBreak/>
        <w:t xml:space="preserve">Проведение мероприятия «Недели нулевого травматизма» в организациях является дополнением к ежедневной работе по охране труда, в период проведения которого будет усилен контроль за соблюдением законодательства об охране труда, по предупреждению травматизма и профилактике возникновения профессиональных заболеваний сотрудников, снижения профессиональных рисков, контроль за состоянием условий труда на рабочих местах, а также за правильностью применения средств индивидуальной защиты, сохранение жизни и здоровья работников в процессе их трудовой деятельности.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Существенный положительный вклад в продвижение вопросов охраны труда вносит применение в организациях нашей страны принципов Концепции «Нулевого травматизма», разработанной Международной ассоциацией социального обеспечения (МАСО). Концепция «Нулевой травматизм» (Vision Zero).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«Vision Zero» или «Нулевой травматизм» – это качественно новый подход к организации профилактики, объединяющий три направления – безопасность, гигиену труда и благополучие работников на всех уровнях производства. Благодаря своей гибкости «Vision Zero» может применяться на любом месте работы, в любой организации и в любой отрасли во всех регионах мира.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Концепция нулевого травматизма предлагает семь «золотых правил», реализация которых будет содействовать работодателю в снижении показателей производственного травматизма и профессиональной заболеваемости.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b/>
          <w:bCs/>
          <w:i/>
          <w:iCs/>
          <w:szCs w:val="30"/>
          <w:lang w:eastAsia="ru-RU"/>
        </w:rPr>
        <w:t>Золотое правило №1:</w:t>
      </w:r>
      <w:r w:rsidRPr="00820EEB">
        <w:rPr>
          <w:rFonts w:eastAsia="Times New Roman" w:cs="Times New Roman"/>
          <w:b/>
          <w:bCs/>
          <w:i/>
          <w:iCs/>
          <w:szCs w:val="30"/>
          <w:lang w:eastAsia="ru-RU"/>
        </w:rPr>
        <w:br/>
        <w:t>Стать лидером – показать приверженность принципам</w:t>
      </w:r>
      <w:r w:rsidRPr="00820EEB">
        <w:rPr>
          <w:rFonts w:eastAsia="Times New Roman" w:cs="Times New Roman"/>
          <w:szCs w:val="30"/>
          <w:lang w:eastAsia="ru-RU"/>
        </w:rPr>
        <w:t xml:space="preserve">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>Лидерство – это не только про руководителей, это про всех нас.</w:t>
      </w:r>
      <w:r w:rsidRPr="00820EEB">
        <w:rPr>
          <w:rFonts w:eastAsia="Times New Roman" w:cs="Times New Roman"/>
          <w:szCs w:val="30"/>
          <w:lang w:eastAsia="ru-RU"/>
        </w:rPr>
        <w:br/>
        <w:t xml:space="preserve">Мы можем стать лидерами каждый на своем рабочем месте и нести личную ответственность за безопасность.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Лидерство – это и забота тоже. Как только работники понимают, что руководителя лично беспокоит их безопасность и здоровье и в организации предпринимаются определённые шаги в этом направлении, успех не заставит себя ждать.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b/>
          <w:bCs/>
          <w:i/>
          <w:iCs/>
          <w:szCs w:val="30"/>
          <w:lang w:eastAsia="ru-RU"/>
        </w:rPr>
        <w:t>Золотое правило №2:</w:t>
      </w:r>
      <w:r w:rsidRPr="00820EEB">
        <w:rPr>
          <w:rFonts w:eastAsia="Times New Roman" w:cs="Times New Roman"/>
          <w:b/>
          <w:bCs/>
          <w:i/>
          <w:iCs/>
          <w:szCs w:val="30"/>
          <w:lang w:eastAsia="ru-RU"/>
        </w:rPr>
        <w:br/>
        <w:t>Выявлять угрозы – контролировать риски</w:t>
      </w:r>
      <w:r w:rsidRPr="00820EEB">
        <w:rPr>
          <w:rFonts w:eastAsia="Times New Roman" w:cs="Times New Roman"/>
          <w:szCs w:val="30"/>
          <w:lang w:eastAsia="ru-RU"/>
        </w:rPr>
        <w:t xml:space="preserve">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lastRenderedPageBreak/>
        <w:t xml:space="preserve">Риску подвергаются все работники на любых рабочих местах. Поэтому их оценка является важным инструментом, позволяющим своевременно и систематически выявлять опасность и риски, а также принимать превентивные меры.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В этом вопросе Беларусь существенно продвинулась в течение последних нескольких лет.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Учет рисков выбран в качестве одного из базовых принципов всей системы охраны труда. Закон «Об охране труда» обязывает нанимателя разрабатывать, внедрять и поддерживать функционирование систем управления охраной труда, обеспечивающих идентификацию опасностей, оценку профессиональных рисков, определение мер управления профессиональными рисками и анализ их результативности, разработке и реализации мероприятий по улучшению условий и охраны труда.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b/>
          <w:bCs/>
          <w:i/>
          <w:iCs/>
          <w:szCs w:val="30"/>
          <w:lang w:eastAsia="ru-RU"/>
        </w:rPr>
        <w:t>Золотое правило №3:</w:t>
      </w:r>
      <w:r w:rsidRPr="00820EEB">
        <w:rPr>
          <w:rFonts w:eastAsia="Times New Roman" w:cs="Times New Roman"/>
          <w:b/>
          <w:bCs/>
          <w:i/>
          <w:iCs/>
          <w:szCs w:val="30"/>
          <w:lang w:eastAsia="ru-RU"/>
        </w:rPr>
        <w:br/>
        <w:t>Определять цели – разрабатывать программы</w:t>
      </w:r>
      <w:r w:rsidRPr="00820EEB">
        <w:rPr>
          <w:rFonts w:eastAsia="Times New Roman" w:cs="Times New Roman"/>
          <w:szCs w:val="30"/>
          <w:lang w:eastAsia="ru-RU"/>
        </w:rPr>
        <w:t xml:space="preserve">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Успех в деле охраны труда требует постановки ясных целей и принятия конкретных практических шагов. Это должно быть предусмотрено в отдельной программе.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Расставьте приоритеты, установите ясные цели в области охраны труда на предприятии и постарайтесь достичь их в среднесрочной перспективе, например, в рамках пятилетней программы.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Сегодня в Республике Беларусь утверждена программа Государственная программа «Рынок труда и содействие занятости» на 2021 – 2025 годы, которая ориентирована на реализацию комплексного системного подхода к решению проблем, связанных с условиями и охраной труда, совершенствование законодательства в этой области, формирование культуры безопасного труда, снижение численности работников, занятых на рабочих местах с вредными и (или) опасными условиями труда, в организациях.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b/>
          <w:bCs/>
          <w:i/>
          <w:iCs/>
          <w:szCs w:val="30"/>
          <w:lang w:eastAsia="ru-RU"/>
        </w:rPr>
        <w:t>Золотое правило № 4:</w:t>
      </w:r>
      <w:r w:rsidRPr="00820EEB">
        <w:rPr>
          <w:rFonts w:eastAsia="Times New Roman" w:cs="Times New Roman"/>
          <w:b/>
          <w:bCs/>
          <w:i/>
          <w:iCs/>
          <w:szCs w:val="30"/>
          <w:lang w:eastAsia="ru-RU"/>
        </w:rPr>
        <w:br/>
        <w:t>Создать систему безопасности и гигиены труда – достичь высокого уровня организации</w:t>
      </w:r>
      <w:r w:rsidRPr="00820EEB">
        <w:rPr>
          <w:rFonts w:eastAsia="Times New Roman" w:cs="Times New Roman"/>
          <w:szCs w:val="30"/>
          <w:lang w:eastAsia="ru-RU"/>
        </w:rPr>
        <w:t xml:space="preserve">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lastRenderedPageBreak/>
        <w:t xml:space="preserve">Систематическая работа по совершенствованию охраны труда на предприятии – это хорошая идея! Она не требует больших усилий и окупает себя.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Имея высокоорганизованную систему охраны труда, любое предприятие работает без сбоев, поскольку уменьшается число неисправностей, простоев и проблем с качеством продукции. Это веский довод в пользу эффективной организации охраны труда – все это окупится!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b/>
          <w:bCs/>
          <w:i/>
          <w:iCs/>
          <w:szCs w:val="30"/>
          <w:lang w:eastAsia="ru-RU"/>
        </w:rPr>
        <w:t>Золотое правило № 5:</w:t>
      </w:r>
      <w:r w:rsidRPr="00820EEB">
        <w:rPr>
          <w:rFonts w:eastAsia="Times New Roman" w:cs="Times New Roman"/>
          <w:b/>
          <w:bCs/>
          <w:i/>
          <w:iCs/>
          <w:szCs w:val="30"/>
          <w:lang w:eastAsia="ru-RU"/>
        </w:rPr>
        <w:br/>
        <w:t>Обеспечивать безопасность и гигиену</w:t>
      </w:r>
      <w:r w:rsidRPr="00820EEB">
        <w:rPr>
          <w:rFonts w:eastAsia="Times New Roman" w:cs="Times New Roman"/>
          <w:b/>
          <w:bCs/>
          <w:i/>
          <w:iCs/>
          <w:szCs w:val="30"/>
          <w:lang w:eastAsia="ru-RU"/>
        </w:rPr>
        <w:br/>
        <w:t>на рабочих местах, при работе со станками и оборудованием</w:t>
      </w:r>
      <w:r w:rsidRPr="00820EEB">
        <w:rPr>
          <w:rFonts w:eastAsia="Times New Roman" w:cs="Times New Roman"/>
          <w:szCs w:val="30"/>
          <w:lang w:eastAsia="ru-RU"/>
        </w:rPr>
        <w:t xml:space="preserve">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Безопасные производственные помещения, оборудование и рабочие места являются обязательными условиями безаварийной работы. Технологический прогресс влечет за собой повышение производительности, но также и новые опасности. Станки и оборудование должны быть безопасными на любых рабочих операциях.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Кроме того, должно учитываться влияние производственной среды на здоровье работников. Эргономика и комфорт рабочего места, его соответствие «зеленым» и эко стандартам – далеко не последние понятия в системе управления охраной труда.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Создавая безопасность и комфорт, легко превратить рабочее место для каждого работника в своего рода второй дом, куда человек будет приходить не только за зарплатой, но и в предвкушении новой интересной работы.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b/>
          <w:bCs/>
          <w:i/>
          <w:iCs/>
          <w:szCs w:val="30"/>
          <w:lang w:eastAsia="ru-RU"/>
        </w:rPr>
        <w:t>Золотое правило №6:</w:t>
      </w:r>
      <w:r w:rsidRPr="00820EEB">
        <w:rPr>
          <w:rFonts w:eastAsia="Times New Roman" w:cs="Times New Roman"/>
          <w:b/>
          <w:bCs/>
          <w:i/>
          <w:iCs/>
          <w:szCs w:val="30"/>
          <w:lang w:eastAsia="ru-RU"/>
        </w:rPr>
        <w:br/>
        <w:t>Повышать квалификацию – развивать профессиональные навыки</w:t>
      </w:r>
      <w:r w:rsidRPr="00820EEB">
        <w:rPr>
          <w:rFonts w:eastAsia="Times New Roman" w:cs="Times New Roman"/>
          <w:szCs w:val="30"/>
          <w:lang w:eastAsia="ru-RU"/>
        </w:rPr>
        <w:t xml:space="preserve">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Технические средства и производственное оборудование работают все быстрее и эффективнее, но в то же время они становятся все сложнее. Знания устаревают все стремительнее, а профессиональные навыки работников требуют регулярного обновления. Как никогда обязательными условиями становятся профессиональная подготовка и непрерывное обучение, как руководства, так и работников.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Базовая основа формирования культуры безопасности и стратегии «нулевого травматизма» — это образование, улучшение качества </w:t>
      </w:r>
      <w:r w:rsidRPr="00820EEB">
        <w:rPr>
          <w:rFonts w:eastAsia="Times New Roman" w:cs="Times New Roman"/>
          <w:szCs w:val="30"/>
          <w:lang w:eastAsia="ru-RU"/>
        </w:rPr>
        <w:lastRenderedPageBreak/>
        <w:t>знаний, повышение квалификаций и компетенций.</w:t>
      </w:r>
      <w:r w:rsidRPr="00820EEB">
        <w:rPr>
          <w:rFonts w:eastAsia="Times New Roman" w:cs="Times New Roman"/>
          <w:szCs w:val="30"/>
          <w:lang w:eastAsia="ru-RU"/>
        </w:rPr>
        <w:br/>
        <w:t xml:space="preserve">В этом будущее!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b/>
          <w:bCs/>
          <w:i/>
          <w:iCs/>
          <w:szCs w:val="30"/>
          <w:lang w:eastAsia="ru-RU"/>
        </w:rPr>
        <w:t>Золотое правило № 7:</w:t>
      </w:r>
      <w:r w:rsidRPr="00820EEB">
        <w:rPr>
          <w:rFonts w:eastAsia="Times New Roman" w:cs="Times New Roman"/>
          <w:b/>
          <w:bCs/>
          <w:i/>
          <w:iCs/>
          <w:szCs w:val="30"/>
          <w:lang w:eastAsia="ru-RU"/>
        </w:rPr>
        <w:br/>
        <w:t>Инвестировать в кадры – мотивировать посредством участия</w:t>
      </w:r>
      <w:r w:rsidRPr="00820EEB">
        <w:rPr>
          <w:rFonts w:eastAsia="Times New Roman" w:cs="Times New Roman"/>
          <w:szCs w:val="30"/>
          <w:lang w:eastAsia="ru-RU"/>
        </w:rPr>
        <w:t xml:space="preserve">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Мотивируйте своих работников, привлекая их к решению всех вопросов охраны труда. Эти инвестиции окупаются!»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Организации, в которых заботятся о работниках и активно вовлекают их в процесс охраны труда, получают возможность максимально использовать важный актив – знания, способности и идеи работников. Если с работником советуются, например, когда оцениваются риски или разрабатываются рабочие инструкции, он активнее стремится следовать правилам.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Роль работника годами недооценивалась во всех этих процессах. Работодатели больше склонны приглашать сторонних экспертов и платить им большие деньги, чтобы понять, что не так происходит в компании, вместо того, чтобы использовать ваши внутренние ресурсы и ориентироваться на работников. А ведь именно они знают, что происходит в организации. </w:t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Cs w:val="30"/>
          <w:lang w:eastAsia="ru-RU"/>
        </w:rPr>
      </w:pPr>
      <w:r w:rsidRPr="00820EEB">
        <w:rPr>
          <w:rFonts w:eastAsia="Times New Roman" w:cs="Times New Roman"/>
          <w:szCs w:val="30"/>
          <w:lang w:eastAsia="ru-RU"/>
        </w:rPr>
        <w:t xml:space="preserve">  </w:t>
      </w:r>
    </w:p>
    <w:p w:rsidR="00820EEB" w:rsidRPr="00820EEB" w:rsidRDefault="00820EEB" w:rsidP="00820EEB">
      <w:pPr>
        <w:spacing w:after="240" w:line="240" w:lineRule="auto"/>
        <w:rPr>
          <w:rFonts w:eastAsia="Times New Roman" w:cs="Times New Roman"/>
          <w:szCs w:val="30"/>
          <w:lang w:eastAsia="ru-RU"/>
        </w:rPr>
      </w:pP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820EEB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30B7DD" wp14:editId="6DBC108F">
            <wp:extent cx="6092825" cy="8871585"/>
            <wp:effectExtent l="0" t="0" r="3175" b="5715"/>
            <wp:docPr id="2" name="Рисунок 2" descr="Описание: https://transtekhnika.by/upload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исание: https://transtekhnika.by/upload/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88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EEB" w:rsidRPr="00820EEB" w:rsidRDefault="00820EEB" w:rsidP="00820EE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820EEB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0A7478" wp14:editId="208F8752">
            <wp:extent cx="6154420" cy="8792210"/>
            <wp:effectExtent l="0" t="0" r="0" b="8890"/>
            <wp:docPr id="3" name="Рисунок 3" descr="Описание: https://transtekhnika.by/upload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писание: https://transtekhnika.by/upload/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879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EEB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2321F8" wp14:editId="5FEFACCB">
            <wp:extent cx="6154420" cy="8827770"/>
            <wp:effectExtent l="0" t="0" r="0" b="0"/>
            <wp:docPr id="4" name="Рисунок 4" descr="https://transtekhnika.by/upload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ranstekhnika.by/upload/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88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EEB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DB0308" wp14:editId="05090AC7">
            <wp:extent cx="6154420" cy="8994775"/>
            <wp:effectExtent l="0" t="0" r="0" b="0"/>
            <wp:docPr id="5" name="Рисунок 5" descr="Описание: https://transtekhnika.by/upload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писание: https://transtekhnika.by/upload/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89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EEB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101EE0" wp14:editId="76A3258D">
            <wp:extent cx="6154420" cy="9399270"/>
            <wp:effectExtent l="0" t="0" r="0" b="0"/>
            <wp:docPr id="6" name="Рисунок 6" descr="Описание: https://transtekhnika.by/upload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писание: https://transtekhnika.by/upload/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AC" w:rsidRDefault="00820EEB" w:rsidP="008F61F3">
      <w:pPr>
        <w:spacing w:before="100" w:beforeAutospacing="1" w:after="100" w:afterAutospacing="1" w:line="240" w:lineRule="auto"/>
      </w:pPr>
      <w:r w:rsidRPr="00820EEB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7D5077" wp14:editId="356D622D">
            <wp:extent cx="6154420" cy="9020810"/>
            <wp:effectExtent l="0" t="0" r="0" b="8890"/>
            <wp:docPr id="7" name="Рисунок 7" descr="Описание: https://transtekhnika.by/upload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писание: https://transtekhnika.by/upload/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9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EEB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84BDF2" wp14:editId="0592526B">
            <wp:extent cx="6154420" cy="9003030"/>
            <wp:effectExtent l="0" t="0" r="0" b="7620"/>
            <wp:docPr id="8" name="Рисунок 8" descr="Описание: https://transtekhnika.by/upload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писание: https://transtekhnika.by/upload/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90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5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EB"/>
    <w:rsid w:val="000352AC"/>
    <w:rsid w:val="004454C3"/>
    <w:rsid w:val="00820EEB"/>
    <w:rsid w:val="008F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ABBF9"/>
  <w15:chartTrackingRefBased/>
  <w15:docId w15:val="{C6376067-A04D-47CB-BCB2-3BA77399C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4C3"/>
    <w:rPr>
      <w:rFonts w:ascii="Times New Roman" w:hAnsi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9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8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8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gi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1130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2022-10-10T06:05:00Z</dcterms:created>
  <dcterms:modified xsi:type="dcterms:W3CDTF">2022-10-10T06:05:00Z</dcterms:modified>
</cp:coreProperties>
</file>